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ind w:firstLine="5103"/>
        <w:rPr/>
      </w:pPr>
      <w:r>
        <w:rPr>
          <w:rFonts w:ascii="Times New Roman" w:hAnsi="Times New Roman"/>
          <w:sz w:val="28"/>
          <w:szCs w:val="28"/>
        </w:rPr>
        <w:t xml:space="preserve">Приложение </w:t>
      </w:r>
    </w:p>
    <w:p>
      <w:pPr>
        <w:pStyle w:val="Normal"/>
        <w:spacing w:lineRule="auto" w:line="240" w:before="0" w:after="0"/>
        <w:ind w:hanging="0"/>
        <w:rPr/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>к  постановлению администрации</w:t>
      </w:r>
    </w:p>
    <w:p>
      <w:pPr>
        <w:pStyle w:val="Normal"/>
        <w:spacing w:lineRule="auto" w:line="240" w:before="0" w:after="0"/>
        <w:ind w:firstLine="5103"/>
        <w:rPr/>
      </w:pPr>
      <w:r>
        <w:rPr>
          <w:rFonts w:ascii="Times New Roman" w:hAnsi="Times New Roman"/>
          <w:sz w:val="28"/>
          <w:szCs w:val="28"/>
        </w:rPr>
        <w:t>Шушенского сельсовета</w:t>
      </w:r>
    </w:p>
    <w:p>
      <w:pPr>
        <w:pStyle w:val="Normal"/>
        <w:tabs>
          <w:tab w:val="left" w:pos="5387" w:leader="none"/>
        </w:tabs>
        <w:spacing w:lineRule="auto" w:line="240" w:before="0" w:after="0"/>
        <w:ind w:firstLine="5103"/>
        <w:rPr/>
      </w:pPr>
      <w:r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24.11.</w:t>
      </w:r>
      <w:r>
        <w:rPr>
          <w:rFonts w:ascii="Times New Roman" w:hAnsi="Times New Roman"/>
          <w:sz w:val="28"/>
          <w:szCs w:val="28"/>
        </w:rPr>
        <w:t xml:space="preserve">2016г. № </w:t>
      </w:r>
      <w:r>
        <w:rPr>
          <w:rFonts w:ascii="Times New Roman" w:hAnsi="Times New Roman"/>
          <w:sz w:val="28"/>
          <w:szCs w:val="28"/>
        </w:rPr>
        <w:t>71</w:t>
      </w:r>
    </w:p>
    <w:p>
      <w:pPr>
        <w:pStyle w:val="Normal"/>
        <w:tabs>
          <w:tab w:val="left" w:pos="5387" w:leader="none"/>
        </w:tabs>
        <w:spacing w:lineRule="auto" w:line="240" w:before="0" w:after="0"/>
        <w:ind w:firstLine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ListParagraph"/>
        <w:numPr>
          <w:ilvl w:val="0"/>
          <w:numId w:val="1"/>
        </w:numPr>
        <w:spacing w:lineRule="auto" w:line="240" w:before="0" w:after="0"/>
        <w:contextualSpacing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ПАСПОРТ МУНИЦИПАЛЬНОЙ ПРОГРАММЫ </w:t>
      </w:r>
    </w:p>
    <w:p>
      <w:pPr>
        <w:pStyle w:val="ConsPlusCell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«Защита населения от чрезвычайных ситуаций </w:t>
      </w:r>
    </w:p>
    <w:p>
      <w:pPr>
        <w:pStyle w:val="ConsPlusCell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и обеспечение пожарной безопасности» </w:t>
      </w:r>
    </w:p>
    <w:p>
      <w:pPr>
        <w:pStyle w:val="ConsPlusCell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tbl>
      <w:tblPr>
        <w:tblStyle w:val="a4"/>
        <w:tblW w:w="10206" w:type="dxa"/>
        <w:jc w:val="left"/>
        <w:tblInd w:w="-485" w:type="dxa"/>
        <w:tblCellMar>
          <w:top w:w="0" w:type="dxa"/>
          <w:left w:w="83" w:type="dxa"/>
          <w:bottom w:w="0" w:type="dxa"/>
          <w:right w:w="108" w:type="dxa"/>
        </w:tblCellMar>
        <w:tblLook w:val="04a0"/>
      </w:tblPr>
      <w:tblGrid>
        <w:gridCol w:w="3543"/>
        <w:gridCol w:w="6662"/>
      </w:tblGrid>
      <w:tr>
        <w:trPr>
          <w:trHeight w:val="970" w:hRule="atLeast"/>
        </w:trPr>
        <w:tc>
          <w:tcPr>
            <w:tcW w:w="3543" w:type="dxa"/>
            <w:tcBorders/>
            <w:shd w:fill="auto" w:val="clear"/>
            <w:tcMar>
              <w:left w:w="8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6662" w:type="dxa"/>
            <w:tcBorders/>
            <w:shd w:fill="auto" w:val="clear"/>
            <w:tcMar>
              <w:left w:w="8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«Защита населения от чрезвычайных ситуаций                 и обеспечение пожарной безопасности» (далее – программа)</w:t>
            </w:r>
          </w:p>
        </w:tc>
      </w:tr>
      <w:tr>
        <w:trPr>
          <w:trHeight w:val="2685" w:hRule="atLeast"/>
        </w:trPr>
        <w:tc>
          <w:tcPr>
            <w:tcW w:w="3543" w:type="dxa"/>
            <w:tcBorders/>
            <w:shd w:fill="auto" w:val="clear"/>
            <w:tcMar>
              <w:left w:w="8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Основания для разработки муниципальной программы</w:t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6662" w:type="dxa"/>
            <w:tcBorders/>
            <w:shd w:fill="auto" w:val="clear"/>
            <w:tcMar>
              <w:left w:w="83" w:type="dxa"/>
            </w:tcMar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outlineLvl w:val="0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Постановление администрации Шушенского сельсовета от 30.07.2013г. № 41 "Об утверждении Порядка принятия решений о разработке муниципальных программ Шушенского сельсовета, их формировании и реализации"</w:t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jc w:val="both"/>
              <w:outlineLvl w:val="0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Распоряжение администрации Шушенского сельсовета от 02.08.2013г. № 18 "Об утверждении Перечня муниципальных программ Шушенского сельсовета"</w:t>
            </w:r>
          </w:p>
        </w:tc>
      </w:tr>
      <w:tr>
        <w:trPr>
          <w:trHeight w:val="1055" w:hRule="atLeast"/>
        </w:trPr>
        <w:tc>
          <w:tcPr>
            <w:tcW w:w="3543" w:type="dxa"/>
            <w:tcBorders/>
            <w:shd w:fill="auto" w:val="clear"/>
            <w:tcMar>
              <w:left w:w="8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6662" w:type="dxa"/>
            <w:tcBorders/>
            <w:shd w:fill="auto" w:val="clear"/>
            <w:tcMar>
              <w:left w:w="83" w:type="dxa"/>
            </w:tcMar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outlineLvl w:val="0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администрация Шушенского сельсовета </w:t>
            </w:r>
          </w:p>
        </w:tc>
      </w:tr>
      <w:tr>
        <w:trPr>
          <w:trHeight w:val="1023" w:hRule="atLeast"/>
        </w:trPr>
        <w:tc>
          <w:tcPr>
            <w:tcW w:w="3543" w:type="dxa"/>
            <w:tcBorders/>
            <w:shd w:fill="auto" w:val="clear"/>
            <w:tcMar>
              <w:left w:w="8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Соисполнители муниципальной программы</w:t>
            </w:r>
          </w:p>
        </w:tc>
        <w:tc>
          <w:tcPr>
            <w:tcW w:w="6662" w:type="dxa"/>
            <w:tcBorders/>
            <w:shd w:fill="auto" w:val="clear"/>
            <w:tcMar>
              <w:left w:w="83" w:type="dxa"/>
            </w:tcMar>
          </w:tcPr>
          <w:p>
            <w:pPr>
              <w:pStyle w:val="ListParagraph"/>
              <w:spacing w:lineRule="auto" w:line="240" w:before="0" w:after="0"/>
              <w:ind w:left="53" w:hanging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отсутствуют</w:t>
            </w:r>
          </w:p>
        </w:tc>
      </w:tr>
      <w:tr>
        <w:trPr>
          <w:trHeight w:val="841" w:hRule="atLeast"/>
        </w:trPr>
        <w:tc>
          <w:tcPr>
            <w:tcW w:w="3543" w:type="dxa"/>
            <w:tcBorders/>
            <w:shd w:fill="auto" w:val="clear"/>
            <w:tcMar>
              <w:left w:w="83" w:type="dxa"/>
            </w:tcMar>
          </w:tcPr>
          <w:p>
            <w:pPr>
              <w:pStyle w:val="Normal"/>
              <w:tabs>
                <w:tab w:val="left" w:pos="1134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Перечень подпрограмм муниципальной программы</w:t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6662" w:type="dxa"/>
            <w:tcBorders/>
            <w:shd w:fill="auto" w:val="clear"/>
            <w:tcMar>
              <w:left w:w="83" w:type="dxa"/>
            </w:tcMar>
          </w:tcPr>
          <w:p>
            <w:pPr>
              <w:pStyle w:val="Normal"/>
              <w:overflowPunct w:val="false"/>
              <w:spacing w:lineRule="auto" w:line="240" w:before="0" w:after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 «Предупреждение, спасение, помощь»</w:t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2. «Обеспечение пожарной безопасности населенных пунктов»    </w:t>
            </w:r>
          </w:p>
        </w:tc>
      </w:tr>
      <w:tr>
        <w:trPr/>
        <w:tc>
          <w:tcPr>
            <w:tcW w:w="3543" w:type="dxa"/>
            <w:tcBorders/>
            <w:shd w:fill="auto" w:val="clear"/>
            <w:tcMar>
              <w:left w:w="8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Цель муниципальной программы </w:t>
            </w:r>
          </w:p>
        </w:tc>
        <w:tc>
          <w:tcPr>
            <w:tcW w:w="6662" w:type="dxa"/>
            <w:tcBorders/>
            <w:shd w:fill="auto" w:val="clear"/>
            <w:tcMar>
              <w:left w:w="83" w:type="dxa"/>
            </w:tcMar>
          </w:tcPr>
          <w:p>
            <w:pPr>
              <w:pStyle w:val="ConsPlusCell"/>
              <w:spacing w:lineRule="auto" w:line="240" w:before="0" w:after="0"/>
              <w:jc w:val="both"/>
              <w:rPr>
                <w:rFonts w:ascii="Times New Roman" w:hAnsi="Times New Roman" w:eastAsia="Calibri" w:cs="" w:cstheme="minorBidi" w:eastAsiaTheme="minorHAnsi"/>
                <w:sz w:val="28"/>
                <w:szCs w:val="28"/>
                <w:lang w:eastAsia="en-US"/>
              </w:rPr>
            </w:pPr>
            <w:r>
              <w:rPr>
                <w:rFonts w:eastAsia="Calibri" w:cs="" w:ascii="Times New Roman" w:hAnsi="Times New Roman" w:cstheme="minorBidi" w:eastAsiaTheme="minorHAnsi"/>
                <w:sz w:val="28"/>
                <w:szCs w:val="28"/>
                <w:lang w:eastAsia="en-US"/>
              </w:rPr>
              <w:t xml:space="preserve">Обеспечение эффективной деятельности и управления в системе гражданской  обороны, защиты                        населения и территорий от чрезвычайных  ситуаций и обеспечение пожарной безопасности    </w:t>
            </w:r>
          </w:p>
        </w:tc>
      </w:tr>
      <w:tr>
        <w:trPr/>
        <w:tc>
          <w:tcPr>
            <w:tcW w:w="3543" w:type="dxa"/>
            <w:tcBorders/>
            <w:shd w:fill="auto" w:val="clear"/>
            <w:tcMar>
              <w:left w:w="8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Задачи муниципальной программы</w:t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6662" w:type="dxa"/>
            <w:tcBorders/>
            <w:shd w:fill="auto" w:val="clear"/>
            <w:tcMar>
              <w:left w:w="83" w:type="dxa"/>
            </w:tcMar>
          </w:tcPr>
          <w:p>
            <w:pPr>
              <w:pStyle w:val="ConsPlusCel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 w:eastAsiaTheme="minorHAnsi"/>
                <w:sz w:val="28"/>
                <w:szCs w:val="28"/>
                <w:lang w:eastAsia="en-US"/>
              </w:rPr>
              <w:t xml:space="preserve">1. 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Минимизация  социального,   экономического   и экологического   ущерба,  наносимого    населению,</w:t>
            </w:r>
          </w:p>
          <w:p>
            <w:pPr>
              <w:pStyle w:val="ConsPlusCel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экономике  и  природной   среде   от   ведения   и вследствие ведения  военных  действий,  совершении террористических  акций,   чрезвычайных   ситуаций</w:t>
            </w:r>
          </w:p>
          <w:p>
            <w:pPr>
              <w:pStyle w:val="ConsPlusCel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природного и  техногенного  характера</w:t>
            </w:r>
          </w:p>
          <w:p>
            <w:pPr>
              <w:pStyle w:val="ConsPlusCell"/>
              <w:spacing w:lineRule="auto" w:line="240" w:before="0" w:after="0"/>
              <w:jc w:val="both"/>
              <w:rPr/>
            </w:pPr>
            <w:r>
              <w:rPr>
                <w:rFonts w:eastAsia="Calibri" w:cs="Times New Roman" w:ascii="Times New Roman" w:hAnsi="Times New Roman" w:eastAsiaTheme="minorHAnsi"/>
                <w:sz w:val="28"/>
                <w:szCs w:val="28"/>
                <w:lang w:eastAsia="en-US"/>
              </w:rPr>
              <w:t>2. Обеспечение первичных мер пожарной безопасности на территории населенных пунктов</w:t>
            </w:r>
          </w:p>
        </w:tc>
      </w:tr>
      <w:tr>
        <w:trPr>
          <w:trHeight w:val="695" w:hRule="atLeast"/>
        </w:trPr>
        <w:tc>
          <w:tcPr>
            <w:tcW w:w="3543" w:type="dxa"/>
            <w:tcBorders/>
            <w:shd w:fill="auto" w:val="clear"/>
            <w:tcMar>
              <w:left w:w="8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6662" w:type="dxa"/>
            <w:tcBorders/>
            <w:shd w:fill="auto" w:val="clear"/>
            <w:tcMar>
              <w:left w:w="83" w:type="dxa"/>
            </w:tcMar>
          </w:tcPr>
          <w:p>
            <w:pPr>
              <w:pStyle w:val="ConsPlusCell"/>
              <w:spacing w:lineRule="auto" w:line="276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2014-2018 годы</w:t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76" w:before="0" w:after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3543" w:type="dxa"/>
            <w:tcBorders/>
            <w:shd w:fill="auto" w:val="clear"/>
            <w:tcMar>
              <w:left w:w="83" w:type="dxa"/>
            </w:tcMar>
          </w:tcPr>
          <w:p>
            <w:pPr>
              <w:pStyle w:val="Normal"/>
              <w:numPr>
                <w:ilvl w:val="0"/>
                <w:numId w:val="0"/>
              </w:numPr>
              <w:tabs>
                <w:tab w:val="left" w:pos="1418" w:leader="none"/>
              </w:tabs>
              <w:spacing w:lineRule="auto" w:line="240" w:before="0" w:after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eastAsia="ru-RU"/>
              </w:rPr>
              <w:t>Перечень целевых показателей и показателей результативности программы с расшифровкой плановых значений по годам ее реализации</w:t>
            </w:r>
          </w:p>
        </w:tc>
        <w:tc>
          <w:tcPr>
            <w:tcW w:w="6662" w:type="dxa"/>
            <w:tcBorders/>
            <w:shd w:fill="auto" w:val="clear"/>
            <w:tcMar>
              <w:left w:w="83" w:type="dxa"/>
            </w:tcMar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Утвержден в приложении № 1 и № 2  к программе</w:t>
            </w:r>
          </w:p>
        </w:tc>
      </w:tr>
      <w:tr>
        <w:trPr>
          <w:trHeight w:val="1984" w:hRule="atLeast"/>
        </w:trPr>
        <w:tc>
          <w:tcPr>
            <w:tcW w:w="3543" w:type="dxa"/>
            <w:tcBorders/>
            <w:shd w:fill="auto" w:val="clear"/>
            <w:tcMar>
              <w:left w:w="8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eastAsia="ru-RU"/>
              </w:rPr>
              <w:t>Информацию по ресурсному обеспечению программы, в том числе в разбивке по источникам финансирования по годам реализации программы</w:t>
            </w:r>
          </w:p>
        </w:tc>
        <w:tc>
          <w:tcPr>
            <w:tcW w:w="6662" w:type="dxa"/>
            <w:tcBorders/>
            <w:shd w:fill="auto" w:val="clear"/>
            <w:tcMar>
              <w:left w:w="8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Планируемое финансирование программных мероприятий составляет 35 899,0 руб., в том числе                     за счет средств: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краевого бюджета 12 055,0 руб., из них: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2014 год – 0,0 руб.;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2015 год – 0,0 руб.;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2016 год – 12 055,0 руб.;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2017 год – 0,0 руб.;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2018 год – 0,0 руб.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бюджета поселения 23 844,0 руб., из них: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2014 год – 10 000,0 руб.;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2015 год – 10 000,0 руб.;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2016 год – 1 844,0 руб.;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2017 год – 1 000,0 руб.;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2018 год – 1 000,0 руб.</w:t>
            </w:r>
          </w:p>
        </w:tc>
      </w:tr>
      <w:tr>
        <w:trPr>
          <w:trHeight w:val="967" w:hRule="atLeast"/>
        </w:trPr>
        <w:tc>
          <w:tcPr>
            <w:tcW w:w="3543" w:type="dxa"/>
            <w:tcBorders/>
            <w:shd w:fill="auto" w:val="clear"/>
            <w:tcMar>
              <w:left w:w="8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Перечень объектов капитального строительства</w:t>
            </w:r>
          </w:p>
        </w:tc>
        <w:tc>
          <w:tcPr>
            <w:tcW w:w="6662" w:type="dxa"/>
            <w:tcBorders/>
            <w:shd w:fill="auto" w:val="clear"/>
            <w:tcMar>
              <w:left w:w="83" w:type="dxa"/>
            </w:tcMar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отсутствуют</w:t>
            </w:r>
          </w:p>
        </w:tc>
      </w:tr>
    </w:tbl>
    <w:p>
      <w:pPr>
        <w:pStyle w:val="Normal"/>
        <w:numPr>
          <w:ilvl w:val="0"/>
          <w:numId w:val="0"/>
        </w:numPr>
        <w:tabs>
          <w:tab w:val="left" w:pos="1134" w:leader="none"/>
          <w:tab w:val="left" w:pos="1418" w:leader="none"/>
        </w:tabs>
        <w:spacing w:lineRule="auto" w:line="240" w:before="0" w:after="0"/>
        <w:outlineLvl w:val="1"/>
        <w:rPr>
          <w:rFonts w:ascii="Times New Roman" w:hAnsi="Times New Roman" w:cs="Times New Roman"/>
          <w:b/>
          <w:b/>
          <w:sz w:val="28"/>
          <w:szCs w:val="28"/>
          <w:lang w:eastAsia="ru-RU"/>
        </w:rPr>
      </w:pPr>
      <w:r>
        <w:rPr>
          <w:rFonts w:cs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numPr>
          <w:ilvl w:val="0"/>
          <w:numId w:val="0"/>
        </w:numPr>
        <w:tabs>
          <w:tab w:val="left" w:pos="1134" w:leader="none"/>
          <w:tab w:val="left" w:pos="1418" w:leader="none"/>
        </w:tabs>
        <w:spacing w:lineRule="auto" w:line="240" w:before="0" w:after="0"/>
        <w:outlineLvl w:val="1"/>
        <w:rPr>
          <w:rFonts w:ascii="Times New Roman" w:hAnsi="Times New Roman" w:cs="Times New Roman"/>
          <w:b/>
          <w:b/>
          <w:sz w:val="28"/>
          <w:szCs w:val="28"/>
          <w:lang w:eastAsia="ru-RU"/>
        </w:rPr>
      </w:pPr>
      <w:r>
        <w:rPr>
          <w:rFonts w:cs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numPr>
          <w:ilvl w:val="0"/>
          <w:numId w:val="0"/>
        </w:numPr>
        <w:tabs>
          <w:tab w:val="left" w:pos="1134" w:leader="none"/>
          <w:tab w:val="left" w:pos="1418" w:leader="none"/>
        </w:tabs>
        <w:spacing w:lineRule="auto" w:line="240" w:before="0" w:after="0"/>
        <w:outlineLvl w:val="1"/>
        <w:rPr>
          <w:rFonts w:ascii="Times New Roman" w:hAnsi="Times New Roman" w:cs="Times New Roman"/>
          <w:b/>
          <w:b/>
          <w:sz w:val="28"/>
          <w:szCs w:val="28"/>
          <w:lang w:eastAsia="ru-RU"/>
        </w:rPr>
      </w:pPr>
      <w:r>
        <w:rPr>
          <w:rFonts w:cs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numPr>
          <w:ilvl w:val="0"/>
          <w:numId w:val="0"/>
        </w:numPr>
        <w:tabs>
          <w:tab w:val="left" w:pos="1134" w:leader="none"/>
          <w:tab w:val="left" w:pos="1418" w:leader="none"/>
        </w:tabs>
        <w:spacing w:lineRule="auto" w:line="240" w:before="0" w:after="0"/>
        <w:outlineLvl w:val="1"/>
        <w:rPr>
          <w:rFonts w:ascii="Times New Roman" w:hAnsi="Times New Roman" w:cs="Times New Roman"/>
          <w:b/>
          <w:b/>
          <w:sz w:val="28"/>
          <w:szCs w:val="28"/>
          <w:lang w:eastAsia="ru-RU"/>
        </w:rPr>
      </w:pPr>
      <w:r>
        <w:rPr>
          <w:rFonts w:cs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numPr>
          <w:ilvl w:val="0"/>
          <w:numId w:val="0"/>
        </w:numPr>
        <w:tabs>
          <w:tab w:val="left" w:pos="1134" w:leader="none"/>
          <w:tab w:val="left" w:pos="1418" w:leader="none"/>
        </w:tabs>
        <w:spacing w:lineRule="auto" w:line="240" w:before="0" w:after="0"/>
        <w:outlineLvl w:val="1"/>
        <w:rPr>
          <w:rFonts w:ascii="Times New Roman" w:hAnsi="Times New Roman" w:cs="Times New Roman"/>
          <w:b/>
          <w:b/>
          <w:sz w:val="28"/>
          <w:szCs w:val="28"/>
          <w:lang w:eastAsia="ru-RU"/>
        </w:rPr>
      </w:pPr>
      <w:r>
        <w:rPr>
          <w:rFonts w:cs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numPr>
          <w:ilvl w:val="0"/>
          <w:numId w:val="0"/>
        </w:numPr>
        <w:tabs>
          <w:tab w:val="left" w:pos="1134" w:leader="none"/>
          <w:tab w:val="left" w:pos="1418" w:leader="none"/>
        </w:tabs>
        <w:spacing w:lineRule="auto" w:line="240" w:before="0" w:after="0"/>
        <w:outlineLvl w:val="1"/>
        <w:rPr>
          <w:rFonts w:ascii="Times New Roman" w:hAnsi="Times New Roman" w:cs="Times New Roman"/>
          <w:b/>
          <w:b/>
          <w:sz w:val="28"/>
          <w:szCs w:val="28"/>
          <w:lang w:eastAsia="ru-RU"/>
        </w:rPr>
      </w:pPr>
      <w:r>
        <w:rPr>
          <w:rFonts w:cs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numPr>
          <w:ilvl w:val="0"/>
          <w:numId w:val="0"/>
        </w:numPr>
        <w:tabs>
          <w:tab w:val="left" w:pos="1134" w:leader="none"/>
          <w:tab w:val="left" w:pos="1418" w:leader="none"/>
        </w:tabs>
        <w:spacing w:lineRule="auto" w:line="240" w:before="0" w:after="0"/>
        <w:outlineLvl w:val="1"/>
        <w:rPr>
          <w:rFonts w:ascii="Times New Roman" w:hAnsi="Times New Roman" w:cs="Times New Roman"/>
          <w:b/>
          <w:b/>
          <w:sz w:val="28"/>
          <w:szCs w:val="28"/>
          <w:lang w:eastAsia="ru-RU"/>
        </w:rPr>
      </w:pPr>
      <w:r>
        <w:rPr>
          <w:rFonts w:cs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numPr>
          <w:ilvl w:val="0"/>
          <w:numId w:val="0"/>
        </w:numPr>
        <w:tabs>
          <w:tab w:val="left" w:pos="1134" w:leader="none"/>
          <w:tab w:val="left" w:pos="1418" w:leader="none"/>
        </w:tabs>
        <w:spacing w:lineRule="auto" w:line="240" w:before="0" w:after="0"/>
        <w:outlineLvl w:val="1"/>
        <w:rPr>
          <w:rFonts w:ascii="Times New Roman" w:hAnsi="Times New Roman" w:cs="Times New Roman"/>
          <w:b/>
          <w:b/>
          <w:sz w:val="28"/>
          <w:szCs w:val="28"/>
          <w:lang w:eastAsia="ru-RU"/>
        </w:rPr>
      </w:pPr>
      <w:r>
        <w:rPr>
          <w:rFonts w:cs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numPr>
          <w:ilvl w:val="0"/>
          <w:numId w:val="0"/>
        </w:numPr>
        <w:tabs>
          <w:tab w:val="left" w:pos="1134" w:leader="none"/>
          <w:tab w:val="left" w:pos="1418" w:leader="none"/>
        </w:tabs>
        <w:spacing w:lineRule="auto" w:line="240" w:before="0" w:after="0"/>
        <w:outlineLvl w:val="1"/>
        <w:rPr>
          <w:rFonts w:ascii="Times New Roman" w:hAnsi="Times New Roman" w:cs="Times New Roman"/>
          <w:b/>
          <w:b/>
          <w:sz w:val="28"/>
          <w:szCs w:val="28"/>
          <w:lang w:eastAsia="ru-RU"/>
        </w:rPr>
      </w:pPr>
      <w:r>
        <w:rPr>
          <w:rFonts w:cs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numPr>
          <w:ilvl w:val="0"/>
          <w:numId w:val="0"/>
        </w:numPr>
        <w:tabs>
          <w:tab w:val="left" w:pos="1134" w:leader="none"/>
          <w:tab w:val="left" w:pos="1418" w:leader="none"/>
        </w:tabs>
        <w:spacing w:lineRule="auto" w:line="240" w:before="0" w:after="0"/>
        <w:outlineLvl w:val="1"/>
        <w:rPr>
          <w:rFonts w:ascii="Times New Roman" w:hAnsi="Times New Roman" w:cs="Times New Roman"/>
          <w:b/>
          <w:b/>
          <w:sz w:val="28"/>
          <w:szCs w:val="28"/>
          <w:lang w:eastAsia="ru-RU"/>
        </w:rPr>
      </w:pPr>
      <w:r>
        <w:rPr>
          <w:rFonts w:cs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numPr>
          <w:ilvl w:val="0"/>
          <w:numId w:val="0"/>
        </w:numPr>
        <w:tabs>
          <w:tab w:val="left" w:pos="1134" w:leader="none"/>
          <w:tab w:val="left" w:pos="1418" w:leader="none"/>
        </w:tabs>
        <w:spacing w:lineRule="auto" w:line="240" w:before="0" w:after="0"/>
        <w:outlineLvl w:val="1"/>
        <w:rPr>
          <w:rFonts w:ascii="Times New Roman" w:hAnsi="Times New Roman" w:cs="Times New Roman"/>
          <w:b/>
          <w:b/>
          <w:sz w:val="28"/>
          <w:szCs w:val="28"/>
          <w:lang w:eastAsia="ru-RU"/>
        </w:rPr>
      </w:pPr>
      <w:r>
        <w:rPr>
          <w:rFonts w:cs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numPr>
          <w:ilvl w:val="0"/>
          <w:numId w:val="0"/>
        </w:numPr>
        <w:tabs>
          <w:tab w:val="left" w:pos="1134" w:leader="none"/>
          <w:tab w:val="left" w:pos="1418" w:leader="none"/>
        </w:tabs>
        <w:spacing w:lineRule="auto" w:line="240" w:before="0" w:after="0"/>
        <w:outlineLvl w:val="1"/>
        <w:rPr>
          <w:rFonts w:ascii="Times New Roman" w:hAnsi="Times New Roman" w:cs="Times New Roman"/>
          <w:b/>
          <w:b/>
          <w:sz w:val="28"/>
          <w:szCs w:val="28"/>
          <w:lang w:eastAsia="ru-RU"/>
        </w:rPr>
      </w:pPr>
      <w:r>
        <w:rPr>
          <w:rFonts w:cs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numPr>
          <w:ilvl w:val="0"/>
          <w:numId w:val="0"/>
        </w:numPr>
        <w:tabs>
          <w:tab w:val="left" w:pos="1134" w:leader="none"/>
          <w:tab w:val="left" w:pos="1418" w:leader="none"/>
        </w:tabs>
        <w:spacing w:lineRule="auto" w:line="240" w:before="0" w:after="0"/>
        <w:outlineLvl w:val="1"/>
        <w:rPr>
          <w:rFonts w:ascii="Times New Roman" w:hAnsi="Times New Roman" w:cs="Times New Roman"/>
          <w:b/>
          <w:b/>
          <w:sz w:val="28"/>
          <w:szCs w:val="28"/>
          <w:lang w:eastAsia="ru-RU"/>
        </w:rPr>
      </w:pPr>
      <w:r>
        <w:rPr>
          <w:rFonts w:cs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numPr>
          <w:ilvl w:val="0"/>
          <w:numId w:val="0"/>
        </w:numPr>
        <w:tabs>
          <w:tab w:val="left" w:pos="1134" w:leader="none"/>
          <w:tab w:val="left" w:pos="1418" w:leader="none"/>
        </w:tabs>
        <w:spacing w:lineRule="auto" w:line="240" w:before="0" w:after="0"/>
        <w:outlineLvl w:val="1"/>
        <w:rPr>
          <w:rFonts w:ascii="Times New Roman" w:hAnsi="Times New Roman" w:cs="Times New Roman"/>
          <w:b/>
          <w:b/>
          <w:sz w:val="28"/>
          <w:szCs w:val="28"/>
          <w:lang w:eastAsia="ru-RU"/>
        </w:rPr>
      </w:pPr>
      <w:r>
        <w:rPr>
          <w:rFonts w:cs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numPr>
          <w:ilvl w:val="0"/>
          <w:numId w:val="0"/>
        </w:numPr>
        <w:tabs>
          <w:tab w:val="left" w:pos="1134" w:leader="none"/>
          <w:tab w:val="left" w:pos="1418" w:leader="none"/>
        </w:tabs>
        <w:spacing w:lineRule="auto" w:line="240" w:before="0" w:after="0"/>
        <w:outlineLvl w:val="1"/>
        <w:rPr>
          <w:rFonts w:ascii="Times New Roman" w:hAnsi="Times New Roman" w:cs="Times New Roman"/>
          <w:b/>
          <w:b/>
          <w:sz w:val="28"/>
          <w:szCs w:val="28"/>
          <w:lang w:eastAsia="ru-RU"/>
        </w:rPr>
      </w:pPr>
      <w:r>
        <w:rPr>
          <w:rFonts w:cs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numPr>
          <w:ilvl w:val="0"/>
          <w:numId w:val="0"/>
        </w:numPr>
        <w:tabs>
          <w:tab w:val="left" w:pos="1134" w:leader="none"/>
          <w:tab w:val="left" w:pos="1418" w:leader="none"/>
        </w:tabs>
        <w:spacing w:lineRule="auto" w:line="240" w:before="0" w:after="0"/>
        <w:outlineLvl w:val="1"/>
        <w:rPr>
          <w:rFonts w:ascii="Times New Roman" w:hAnsi="Times New Roman" w:cs="Times New Roman"/>
          <w:b/>
          <w:b/>
          <w:sz w:val="28"/>
          <w:szCs w:val="28"/>
          <w:lang w:eastAsia="ru-RU"/>
        </w:rPr>
      </w:pPr>
      <w:r>
        <w:rPr>
          <w:rFonts w:cs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numPr>
          <w:ilvl w:val="0"/>
          <w:numId w:val="0"/>
        </w:numPr>
        <w:tabs>
          <w:tab w:val="left" w:pos="1134" w:leader="none"/>
          <w:tab w:val="left" w:pos="1418" w:leader="none"/>
        </w:tabs>
        <w:spacing w:lineRule="auto" w:line="240" w:before="0" w:after="0"/>
        <w:outlineLvl w:val="1"/>
        <w:rPr>
          <w:rFonts w:ascii="Times New Roman" w:hAnsi="Times New Roman" w:cs="Times New Roman"/>
          <w:b/>
          <w:b/>
          <w:sz w:val="28"/>
          <w:szCs w:val="28"/>
          <w:lang w:eastAsia="ru-RU"/>
        </w:rPr>
      </w:pPr>
      <w:r>
        <w:rPr>
          <w:rFonts w:cs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numPr>
          <w:ilvl w:val="0"/>
          <w:numId w:val="0"/>
        </w:numPr>
        <w:tabs>
          <w:tab w:val="left" w:pos="1134" w:leader="none"/>
          <w:tab w:val="left" w:pos="1418" w:leader="none"/>
        </w:tabs>
        <w:spacing w:lineRule="auto" w:line="240" w:before="0" w:after="0"/>
        <w:outlineLvl w:val="1"/>
        <w:rPr>
          <w:rFonts w:ascii="Times New Roman" w:hAnsi="Times New Roman" w:cs="Times New Roman"/>
          <w:b/>
          <w:b/>
          <w:sz w:val="28"/>
          <w:szCs w:val="28"/>
          <w:lang w:eastAsia="ru-RU"/>
        </w:rPr>
      </w:pPr>
      <w:r>
        <w:rPr>
          <w:rFonts w:cs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numPr>
          <w:ilvl w:val="0"/>
          <w:numId w:val="0"/>
        </w:numPr>
        <w:tabs>
          <w:tab w:val="left" w:pos="1134" w:leader="none"/>
          <w:tab w:val="left" w:pos="1418" w:leader="none"/>
        </w:tabs>
        <w:spacing w:lineRule="auto" w:line="240" w:before="0" w:after="0"/>
        <w:outlineLvl w:val="1"/>
        <w:rPr>
          <w:rFonts w:ascii="Times New Roman" w:hAnsi="Times New Roman" w:cs="Times New Roman"/>
          <w:b/>
          <w:b/>
          <w:sz w:val="28"/>
          <w:szCs w:val="28"/>
          <w:lang w:eastAsia="ru-RU"/>
        </w:rPr>
      </w:pPr>
      <w:r>
        <w:rPr>
          <w:rFonts w:cs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numPr>
          <w:ilvl w:val="0"/>
          <w:numId w:val="0"/>
        </w:numPr>
        <w:tabs>
          <w:tab w:val="left" w:pos="1134" w:leader="none"/>
          <w:tab w:val="left" w:pos="1418" w:leader="none"/>
        </w:tabs>
        <w:spacing w:lineRule="auto" w:line="240" w:before="0" w:after="0"/>
        <w:outlineLvl w:val="1"/>
        <w:rPr>
          <w:rFonts w:ascii="Times New Roman" w:hAnsi="Times New Roman" w:cs="Times New Roman"/>
          <w:b/>
          <w:b/>
          <w:sz w:val="28"/>
          <w:szCs w:val="28"/>
          <w:lang w:eastAsia="ru-RU"/>
        </w:rPr>
      </w:pPr>
      <w:r>
        <w:rPr>
          <w:rFonts w:cs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numPr>
          <w:ilvl w:val="0"/>
          <w:numId w:val="0"/>
        </w:numPr>
        <w:tabs>
          <w:tab w:val="left" w:pos="1134" w:leader="none"/>
          <w:tab w:val="left" w:pos="1418" w:leader="none"/>
        </w:tabs>
        <w:spacing w:lineRule="auto" w:line="240" w:before="0" w:after="0"/>
        <w:outlineLvl w:val="1"/>
        <w:rPr>
          <w:rFonts w:ascii="Times New Roman" w:hAnsi="Times New Roman" w:cs="Times New Roman"/>
          <w:b/>
          <w:b/>
          <w:sz w:val="28"/>
          <w:szCs w:val="28"/>
          <w:lang w:eastAsia="ru-RU"/>
        </w:rPr>
      </w:pPr>
      <w:r>
        <w:rPr>
          <w:rFonts w:cs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numPr>
          <w:ilvl w:val="0"/>
          <w:numId w:val="0"/>
        </w:numPr>
        <w:tabs>
          <w:tab w:val="left" w:pos="1134" w:leader="none"/>
          <w:tab w:val="left" w:pos="1418" w:leader="none"/>
        </w:tabs>
        <w:spacing w:lineRule="auto" w:line="240" w:before="0" w:after="0"/>
        <w:outlineLvl w:val="1"/>
        <w:rPr>
          <w:rFonts w:ascii="Times New Roman" w:hAnsi="Times New Roman" w:cs="Times New Roman"/>
          <w:b/>
          <w:b/>
          <w:sz w:val="28"/>
          <w:szCs w:val="28"/>
          <w:lang w:eastAsia="ru-RU"/>
        </w:rPr>
      </w:pPr>
      <w:r>
        <w:rPr>
          <w:rFonts w:cs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numPr>
          <w:ilvl w:val="0"/>
          <w:numId w:val="0"/>
        </w:numPr>
        <w:tabs>
          <w:tab w:val="left" w:pos="1134" w:leader="none"/>
          <w:tab w:val="left" w:pos="1418" w:leader="none"/>
        </w:tabs>
        <w:spacing w:lineRule="auto" w:line="240" w:before="0" w:after="0"/>
        <w:outlineLvl w:val="1"/>
        <w:rPr>
          <w:rFonts w:ascii="Times New Roman" w:hAnsi="Times New Roman" w:cs="Times New Roman"/>
          <w:b/>
          <w:b/>
          <w:sz w:val="28"/>
          <w:szCs w:val="28"/>
          <w:lang w:eastAsia="ru-RU"/>
        </w:rPr>
      </w:pPr>
      <w:r>
        <w:rPr>
          <w:rFonts w:cs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numPr>
          <w:ilvl w:val="0"/>
          <w:numId w:val="0"/>
        </w:numPr>
        <w:tabs>
          <w:tab w:val="left" w:pos="1134" w:leader="none"/>
          <w:tab w:val="left" w:pos="1418" w:leader="none"/>
        </w:tabs>
        <w:spacing w:lineRule="auto" w:line="240" w:before="0" w:after="0"/>
        <w:jc w:val="center"/>
        <w:outlineLvl w:val="1"/>
        <w:rPr>
          <w:rFonts w:ascii="Times New Roman" w:hAnsi="Times New Roman"/>
          <w:b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2. Характеристика текущего состояния соответствующей сферы с указанием основных показателей социально-экономического развития территории сельсовета </w:t>
      </w:r>
    </w:p>
    <w:p>
      <w:pPr>
        <w:pStyle w:val="ListParagraph"/>
        <w:numPr>
          <w:ilvl w:val="0"/>
          <w:numId w:val="0"/>
        </w:numPr>
        <w:tabs>
          <w:tab w:val="left" w:pos="1134" w:leader="none"/>
          <w:tab w:val="left" w:pos="1418" w:leader="none"/>
        </w:tabs>
        <w:spacing w:lineRule="auto" w:line="240" w:before="0" w:after="0"/>
        <w:ind w:left="0" w:hanging="0"/>
        <w:contextualSpacing/>
        <w:jc w:val="center"/>
        <w:outlineLvl w:val="1"/>
        <w:rPr>
          <w:rFonts w:ascii="Times New Roman" w:hAnsi="Times New Roman" w:cs="Times New Roman"/>
          <w:b/>
          <w:b/>
          <w:sz w:val="28"/>
          <w:szCs w:val="28"/>
          <w:lang w:eastAsia="ru-RU"/>
        </w:rPr>
      </w:pPr>
      <w:r>
        <w:rPr>
          <w:rFonts w:cs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Сферой реализации программы является организация эффективной деятельности защиты населения и территорий от чрезвычайных ситуаций  природного и техногенного характера, обеспечение пожарной безопасности. 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За 2014-2015 годы черезвычайных ситуаций на территории Шушенского сельсовета не было.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/>
      </w:pPr>
      <w:r>
        <w:rPr>
          <w:rFonts w:ascii="Times New Roman" w:hAnsi="Times New Roman"/>
          <w:sz w:val="28"/>
          <w:szCs w:val="28"/>
        </w:rPr>
        <w:t>Количество зарегистрированных пожаров произошедших за 2012 год составило 5 единиц, количество населения погибшего, травмированного и пострадавшего при пожарах составило 1 человек.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целью оказания помощи населению в чрезвычайных ситуациях на территории поселения созданы  подразделения: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/>
      </w:pPr>
      <w:r>
        <w:rPr>
          <w:rFonts w:ascii="Times New Roman" w:hAnsi="Times New Roman"/>
          <w:sz w:val="28"/>
          <w:szCs w:val="28"/>
        </w:rPr>
        <w:t xml:space="preserve">- противопожарной охраны, которое прикрывает в противопожарном отношении 100% населенных пунктов Шушенского сельсовета и проводят противопожарную профилактику; </w:t>
      </w:r>
    </w:p>
    <w:p>
      <w:pPr>
        <w:pStyle w:val="Normal"/>
        <w:spacing w:lineRule="auto" w:line="240" w:before="0" w:after="0"/>
        <w:ind w:firstLine="567"/>
        <w:jc w:val="both"/>
        <w:rPr/>
      </w:pPr>
      <w:r>
        <w:rPr>
          <w:rFonts w:cs="Times New Roman" w:ascii="Times New Roman" w:hAnsi="Times New Roman"/>
          <w:sz w:val="28"/>
          <w:szCs w:val="28"/>
          <w:shd w:fill="FFFFFF" w:val="clear"/>
        </w:rPr>
        <w:t xml:space="preserve"> </w:t>
      </w:r>
      <w:r>
        <w:rPr>
          <w:rFonts w:cs="Times New Roman" w:ascii="Times New Roman" w:hAnsi="Times New Roman"/>
          <w:sz w:val="28"/>
          <w:szCs w:val="28"/>
          <w:shd w:fill="FFFFFF" w:val="clear"/>
        </w:rPr>
        <w:t>- добровольной пожарной охраны общей численностью 5 человек.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cs="Times New Roman" w:ascii="Times New Roman" w:hAnsi="Times New Roman"/>
          <w:sz w:val="28"/>
          <w:szCs w:val="28"/>
          <w:shd w:fill="FFFFFF" w:val="clear"/>
        </w:rPr>
        <w:t xml:space="preserve"> </w:t>
      </w:r>
      <w:r>
        <w:rPr>
          <w:rFonts w:cs="Times New Roman" w:ascii="Times New Roman" w:hAnsi="Times New Roman"/>
          <w:sz w:val="28"/>
          <w:szCs w:val="28"/>
          <w:shd w:fill="FFFFFF" w:val="clear"/>
        </w:rPr>
        <w:t xml:space="preserve">Подразделение добровольной пожарной охраны активно принимало участие в обеспечении защиты населенных пунктов от лесных пожаров в период сложной леспожарной обстановки 2012 года. 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 Приоритеты и цели социально-экономического развития в соответствующей сфере, описание основных целей и задач программы, прогноз развития соответствующей сферы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/>
          <w:i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Приоритетами в области защиты населения и территории от чрезвычайных ситуаций  являются: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оперативное реагирование на чрезвычайные ситуации природного и техногенного характера и различного рода происшествия;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обеспечение создания и поддержания в состоянии постоянной готовности к использованию системы оповещения населения об опасностях, возникающих при ведении военных действий или вследствие этих действий, возникновения чрезвычайных ситуаций природного и техногенного характера;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обеспечение осуществления мер для защиты населения и территории от чрезвычайных ситуаций в состоянии постоянной готовности;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обеспечение создания, содержания и использование в ликвидации чрезвычайных ситуаций резервов материально-технических и иных средств;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организация и проведение аварийно-спасательных и других неотложных работ при чрезвычайных ситуациях;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хранение и поддержание в состоянии постоянной готовности                   к использованию по предназначению запасов материально-технических средств, в том числе средств индивидуальной защиты, средств радиационной, химической разведки и дозиметрического контроля, плавающих средств для ликвидации чрезвычайных ситуаций техногенного характера.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/>
          <w:i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Приоритетами в области пожарной безопасности являются: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организация и осуществление тушения пожаров и проведение первоочередных аварийно-спасательных работ, связанных с пожарами;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повышение эффективности пожаротушения и спасения людей при пожарах;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профилактическая работа на объектах жилого назначения;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развитие добровольных пожарных формирований.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/>
          <w:i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Приоритетами в области организации обучения населения в области  защиты от чрезвычайных ситуаций природного и техногенного характера, информирование населения о мерах пожарной безопасности являются: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плановая подготовка, переподготовка и повышение квалификации руководителей и специалистов  администрации сельсовета, организаций;  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информирование населения через средства массовой информации и по иным каналам о прогнозируемых и возникших чрезвычайных ситуациях           и пожарах, мерах по обеспечению безопасности населения и территории,          а также пропаганда в области защиты населения и территории от чрезвычайных ситуаций, обеспечения пожарной безопасности.</w:t>
      </w:r>
    </w:p>
    <w:p>
      <w:pPr>
        <w:pStyle w:val="ConsPlusCell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Целью программы  является </w:t>
      </w:r>
      <w:r>
        <w:rPr>
          <w:rFonts w:eastAsia="Calibri" w:cs="" w:ascii="Times New Roman" w:hAnsi="Times New Roman" w:cstheme="minorBidi" w:eastAsiaTheme="minorHAnsi"/>
          <w:sz w:val="28"/>
          <w:szCs w:val="28"/>
          <w:lang w:eastAsia="en-US"/>
        </w:rPr>
        <w:t>обеспечение  эффективной деятельности    и управления в системе гражданской обороны, защиты населения и территорий от  чрезвычайных ситуаций и обеспечение пожарной безопасности</w:t>
      </w:r>
      <w:r>
        <w:rPr>
          <w:rFonts w:ascii="Times New Roman" w:hAnsi="Times New Roman"/>
          <w:sz w:val="28"/>
          <w:szCs w:val="28"/>
        </w:rPr>
        <w:t>.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eastAsia="Times New Roman" w:ascii="Times New Roman" w:hAnsi="Times New Roman"/>
          <w:sz w:val="28"/>
          <w:szCs w:val="28"/>
          <w:lang w:eastAsia="ru-RU"/>
        </w:rPr>
        <w:t>Достижение поставленной цели будет осуществляться путем решения следующих задач</w:t>
      </w:r>
      <w:r>
        <w:rPr>
          <w:rFonts w:ascii="Times New Roman" w:hAnsi="Times New Roman"/>
          <w:sz w:val="28"/>
          <w:szCs w:val="28"/>
        </w:rPr>
        <w:t>: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Минимизация  социального, экономического и экологического ущерба, наносимого населению, экономике и природной среде от ведения и вследствие ведения военных действий, совершении террористических  акций, чрезвычайных ситуаций природного и техногенного характера. 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 </w:t>
      </w:r>
      <w:r>
        <w:rPr>
          <w:rFonts w:cs="Times New Roman" w:ascii="Times New Roman" w:hAnsi="Times New Roman"/>
          <w:sz w:val="28"/>
          <w:szCs w:val="28"/>
        </w:rPr>
        <w:t>Повышение уровня защищенности населения и объектов экономики от пожаров</w:t>
      </w:r>
      <w:r>
        <w:rPr>
          <w:rFonts w:ascii="Times New Roman" w:hAnsi="Times New Roman"/>
          <w:sz w:val="28"/>
          <w:szCs w:val="28"/>
        </w:rPr>
        <w:t>.</w:t>
      </w:r>
    </w:p>
    <w:p>
      <w:pPr>
        <w:pStyle w:val="Normal"/>
        <w:spacing w:lineRule="auto" w:line="24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 целевых индикаторов и показателей программы с расшифровкой плановых значений по годам реализации представлены в Приложении № 1-2.</w:t>
      </w:r>
    </w:p>
    <w:p>
      <w:pPr>
        <w:pStyle w:val="ListParagraph"/>
        <w:widowControl w:val="false"/>
        <w:numPr>
          <w:ilvl w:val="0"/>
          <w:numId w:val="2"/>
        </w:numPr>
        <w:tabs>
          <w:tab w:val="left" w:pos="0" w:leader="none"/>
        </w:tabs>
        <w:spacing w:lineRule="auto" w:line="240" w:before="0" w:after="0"/>
        <w:ind w:left="0" w:hanging="0"/>
        <w:contextualSpacing/>
        <w:jc w:val="center"/>
        <w:rPr>
          <w:rFonts w:ascii="Times New Roman" w:hAnsi="Times New Roman" w:cs="Times New Roman"/>
          <w:b/>
          <w:b/>
          <w:sz w:val="28"/>
          <w:szCs w:val="28"/>
          <w:u w:val="single"/>
        </w:rPr>
      </w:pPr>
      <w:r>
        <w:rPr>
          <w:rFonts w:cs="Times New Roman" w:ascii="Times New Roman" w:hAnsi="Times New Roman"/>
          <w:b/>
          <w:sz w:val="28"/>
          <w:szCs w:val="28"/>
        </w:rPr>
        <w:t>Механизм реализации отдельных мероприятий программы (описание организационных, экономических и правовых механизмов, необходимых для эффективной реализации отдельных мероприятий программы; последовательность выполнения отдельных мероприятий программы, их взаимоувязанность; критерии выбора исполнителей; критерии выбора получателей муниципальных услуг) или ссылку на нормативный акт, регламентирующий реализацию соответствующих мероприятий</w:t>
      </w:r>
    </w:p>
    <w:p>
      <w:pPr>
        <w:pStyle w:val="Normal"/>
        <w:widowControl w:val="false"/>
        <w:spacing w:lineRule="auto" w:line="240" w:before="0" w:after="0"/>
        <w:ind w:firstLine="54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Муниципальная программа реализуется в рамках подпрограмм и не содержит отдельных мероприятий.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ListParagraph"/>
        <w:widowControl w:val="false"/>
        <w:numPr>
          <w:ilvl w:val="0"/>
          <w:numId w:val="2"/>
        </w:numPr>
        <w:spacing w:lineRule="auto" w:line="240" w:before="0" w:after="0"/>
        <w:ind w:left="0" w:hanging="0"/>
        <w:contextualSpacing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Прогноз конечных результатов программы, характеризующих целевое состояние (изменение состояния) уровня и качества жизни населения, социальной сферы, экономики, степени реализации других общественно значимых интересов и потребностей в соответствующей сфере на территории сельсовета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осуществления мониторинга оценки реализации программы применяются целевые показатели и показатели результативности.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Источником информации по показателям является ведомственная статистика. 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Реализация мероприятий программы позволит к 2017 году: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снизить количество погибших, травмированных и пострадавших при чрезвычайных ситуациях,  пожарах на 80% к уровню 2012 года в 2018 году;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увеличить количество  населения, спасенного при  чрезвычайных ситуациях, пожарах на 200% к уровню 2012 года в 2018 году.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  <w:highlight w:val="yellow"/>
        </w:rPr>
      </w:r>
    </w:p>
    <w:p>
      <w:pPr>
        <w:pStyle w:val="ListParagraph"/>
        <w:widowControl w:val="false"/>
        <w:numPr>
          <w:ilvl w:val="0"/>
          <w:numId w:val="2"/>
        </w:numPr>
        <w:spacing w:lineRule="auto" w:line="240" w:before="0" w:after="0"/>
        <w:ind w:left="0" w:hanging="0"/>
        <w:contextualSpacing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Перечень подпрограмм с указанием сроков их реализации и ожидаемых результатов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/>
          <w:i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Подпрограмма 1. «Предупреждение, спасение, помощь»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Срок реализации подпрограммы  2014-2018 годы.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Реализация мероприятий подпрограммы позволит к 2018 году:  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снизить количество населения погибшего, травмированного и пострадавшего при чрезвычайных ситуациях до 1 человека;  </w:t>
      </w:r>
    </w:p>
    <w:p>
      <w:pPr>
        <w:pStyle w:val="Normal"/>
        <w:spacing w:lineRule="auto" w:line="240" w:before="0" w:after="0"/>
        <w:ind w:firstLine="567"/>
        <w:jc w:val="both"/>
        <w:rPr/>
      </w:pPr>
      <w:r>
        <w:rPr>
          <w:rFonts w:ascii="Times New Roman" w:hAnsi="Times New Roman"/>
          <w:sz w:val="28"/>
          <w:szCs w:val="28"/>
        </w:rPr>
        <w:t>- увеличить количество населения, спасенного при чрезвычайных ситуациях  до 2 человека.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  <w:highlight w:val="yellow"/>
        </w:rPr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/>
          <w:i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Подпрограмма 2. «Обеспечение пожарной безопасности населенных пунктов»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Срок реализации подпрограммы  2014-2018 годы.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Реализация мероприятий подпрограммы позволит к 2018 году:  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- снизить количество зарегистрированных пожаров на территории сельсовета до 82,8% к уровню 2012 года; 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снизить количество населения погибшего, травмированного и пострадавшего при пожарах на 100% к уровню 2012 года;  </w:t>
      </w:r>
    </w:p>
    <w:p>
      <w:pPr>
        <w:pStyle w:val="Normal"/>
        <w:spacing w:lineRule="auto" w:line="24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- увеличить количество населения спасенного при пожарах </w:t>
      </w:r>
      <w:r>
        <w:rPr>
          <w:rFonts w:ascii="Times New Roman" w:hAnsi="Times New Roman"/>
          <w:sz w:val="28"/>
          <w:szCs w:val="28"/>
        </w:rPr>
        <w:t>на 100%                    к уровню 2012 года</w:t>
      </w:r>
      <w:r>
        <w:rPr>
          <w:rFonts w:cs="Times New Roman" w:ascii="Times New Roman" w:hAnsi="Times New Roman"/>
          <w:sz w:val="28"/>
          <w:szCs w:val="28"/>
        </w:rPr>
        <w:t>.</w:t>
      </w:r>
    </w:p>
    <w:p>
      <w:pPr>
        <w:pStyle w:val="Normal"/>
        <w:spacing w:lineRule="auto" w:line="240"/>
        <w:jc w:val="center"/>
        <w:rPr>
          <w:rFonts w:ascii="Times New Roman" w:hAnsi="Times New Roman"/>
          <w:b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7. Информация о распределении планируемых расходов по отдельным  мероприятиям  программы, подпрограммам </w:t>
      </w:r>
    </w:p>
    <w:p>
      <w:pPr>
        <w:pStyle w:val="Normal"/>
        <w:spacing w:lineRule="auto" w:line="24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</w:rPr>
        <w:t xml:space="preserve">нформация по данному разделу представлена в приложении № 3                         к Программе. </w:t>
      </w:r>
    </w:p>
    <w:p>
      <w:pPr>
        <w:pStyle w:val="Normal"/>
        <w:spacing w:lineRule="auto" w:line="240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</w:r>
    </w:p>
    <w:p>
      <w:pPr>
        <w:pStyle w:val="Normal"/>
        <w:spacing w:lineRule="auto" w:line="240"/>
        <w:ind w:firstLine="567"/>
        <w:jc w:val="center"/>
        <w:rPr>
          <w:rFonts w:ascii="Times New Roman" w:hAnsi="Times New Roman"/>
          <w:b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8.  Информация о планируемых объемах бюджетных </w:t>
      </w:r>
      <w:r>
        <w:rPr>
          <w:rFonts w:ascii="Times New Roman" w:hAnsi="Times New Roman"/>
          <w:b/>
          <w:sz w:val="28"/>
          <w:szCs w:val="28"/>
        </w:rPr>
        <w:t>ассигнований, направленных на реализацию научной, научно-технической и инновационной деятельности</w:t>
      </w:r>
    </w:p>
    <w:p>
      <w:pPr>
        <w:pStyle w:val="Normal"/>
        <w:spacing w:lineRule="auto" w:line="240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Осуществление научной, </w:t>
      </w:r>
      <w:r>
        <w:rPr>
          <w:rFonts w:ascii="Times New Roman" w:hAnsi="Times New Roman"/>
          <w:sz w:val="28"/>
          <w:szCs w:val="28"/>
        </w:rPr>
        <w:t xml:space="preserve">научно-технической и инновационной деятельности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в рамках Программы не предусмотрено.</w:t>
      </w:r>
    </w:p>
    <w:p>
      <w:pPr>
        <w:pStyle w:val="Normal"/>
        <w:spacing w:lineRule="auto" w:line="240"/>
        <w:jc w:val="center"/>
        <w:rPr>
          <w:rFonts w:ascii="Times New Roman" w:hAnsi="Times New Roman"/>
          <w:b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9. И</w:t>
      </w:r>
      <w:r>
        <w:rPr>
          <w:rFonts w:ascii="Times New Roman" w:hAnsi="Times New Roman"/>
          <w:b/>
          <w:sz w:val="28"/>
          <w:szCs w:val="28"/>
        </w:rPr>
        <w:t>нформация о ресурсном обеспечении и прогнозной оценке расходов на реализацию целей программы с учетом источников финансирования, в том числе средств федерального, краевого и бюджета поселения</w:t>
      </w:r>
    </w:p>
    <w:p>
      <w:pPr>
        <w:pStyle w:val="Normal"/>
        <w:spacing w:lineRule="auto" w:line="240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</w:rPr>
        <w:t xml:space="preserve">нформация по данному разделу представлена в приложении № 5                         к Программе. </w:t>
      </w:r>
    </w:p>
    <w:p>
      <w:pPr>
        <w:pStyle w:val="Normal"/>
        <w:spacing w:lineRule="auto" w:line="240"/>
        <w:ind w:firstLine="567"/>
        <w:jc w:val="both"/>
        <w:rPr>
          <w:rFonts w:ascii="Times New Roman" w:hAnsi="Times New Roman"/>
          <w:b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10. </w:t>
      </w:r>
      <w:r>
        <w:rPr>
          <w:rFonts w:ascii="Times New Roman" w:hAnsi="Times New Roman"/>
          <w:b/>
          <w:sz w:val="28"/>
          <w:szCs w:val="28"/>
          <w:lang w:eastAsia="ru-RU"/>
        </w:rPr>
        <w:t>Прогноз сводных показателей муниципальных заданий</w:t>
      </w:r>
    </w:p>
    <w:p>
      <w:pPr>
        <w:pStyle w:val="ListParagraph"/>
        <w:numPr>
          <w:ilvl w:val="0"/>
          <w:numId w:val="0"/>
        </w:numPr>
        <w:tabs>
          <w:tab w:val="left" w:pos="1134" w:leader="none"/>
          <w:tab w:val="left" w:pos="1418" w:leader="none"/>
        </w:tabs>
        <w:spacing w:lineRule="auto" w:line="240" w:before="0" w:after="0"/>
        <w:ind w:left="0" w:firstLine="567"/>
        <w:contextualSpacing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</w:t>
      </w:r>
      <w:r>
        <w:rPr>
          <w:rFonts w:ascii="Times New Roman" w:hAnsi="Times New Roman"/>
          <w:sz w:val="28"/>
          <w:szCs w:val="28"/>
          <w:lang w:eastAsia="ru-RU"/>
        </w:rPr>
        <w:t xml:space="preserve">Оказания муниципальных услуг юридическим и физическим лицам              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в рамках Программы не предусмотрено.</w:t>
      </w:r>
    </w:p>
    <w:p>
      <w:pPr>
        <w:pStyle w:val="Normal"/>
        <w:spacing w:lineRule="auto" w:line="240"/>
        <w:ind w:firstLine="567"/>
        <w:jc w:val="both"/>
        <w:rPr/>
      </w:pPr>
      <w:r>
        <w:rPr/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/>
      </w:pPr>
      <w:r>
        <w:rPr/>
      </w:r>
    </w:p>
    <w:sectPr>
      <w:type w:val="nextPage"/>
      <w:pgSz w:w="11906" w:h="16838"/>
      <w:pgMar w:left="1701" w:right="851" w:header="0" w:top="851" w:footer="0" w:bottom="851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Courier New"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lvl w:ilvl="0">
      <w:start w:val="4"/>
      <w:numFmt w:val="decimal"/>
      <w:lvlText w:val="%1."/>
      <w:lvlJc w:val="left"/>
      <w:pPr>
        <w:ind w:left="720" w:hanging="360"/>
      </w:pPr>
      <w:rPr>
        <w:sz w:val="28"/>
        <w:u w:val="none"/>
        <w:b/>
        <w:rFonts w:ascii="Times New Roman" w:hAnsi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3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pacing w:lineRule="auto" w:line="276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Bullet" w:uiPriority="0"/>
    <w:lsdException w:name="Title" w:uiPriority="10" w:semiHidden="0" w:unhideWhenUsed="0" w:qFormat="1"/>
    <w:lsdException w:name="Default Paragraph Font" w:uiPriority="1"/>
    <w:lsdException w:name="Body Text Inden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bf41be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00000A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8"/>
    <w:uiPriority w:val="99"/>
    <w:semiHidden/>
    <w:qFormat/>
    <w:rsid w:val="00df7e98"/>
    <w:rPr>
      <w:rFonts w:ascii="Tahoma" w:hAnsi="Tahoma" w:cs="Tahoma"/>
      <w:sz w:val="16"/>
      <w:szCs w:val="16"/>
    </w:rPr>
  </w:style>
  <w:style w:type="character" w:styleId="Style15" w:customStyle="1">
    <w:name w:val="Основной текст с отступом Знак"/>
    <w:basedOn w:val="DefaultParagraphFont"/>
    <w:link w:val="aa"/>
    <w:qFormat/>
    <w:rsid w:val="0035632b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ConsPlusNormal" w:customStyle="1">
    <w:name w:val="ConsPlusNormal Знак"/>
    <w:link w:val="ConsPlusNormal"/>
    <w:qFormat/>
    <w:rsid w:val="00b9105d"/>
    <w:rPr>
      <w:rFonts w:ascii="Arial" w:hAnsi="Arial" w:eastAsia="Times New Roman" w:cs="Arial"/>
      <w:sz w:val="20"/>
      <w:szCs w:val="20"/>
      <w:lang w:eastAsia="ru-RU"/>
    </w:rPr>
  </w:style>
  <w:style w:type="character" w:styleId="Style16" w:customStyle="1">
    <w:name w:val="Основной текст_"/>
    <w:basedOn w:val="DefaultParagraphFont"/>
    <w:link w:val="1"/>
    <w:qFormat/>
    <w:rsid w:val="00082f77"/>
    <w:rPr>
      <w:rFonts w:ascii="Times New Roman" w:hAnsi="Times New Roman" w:eastAsia="Times New Roman" w:cs="Times New Roman"/>
      <w:sz w:val="27"/>
      <w:szCs w:val="27"/>
      <w:shd w:fill="FFFFFF" w:val="clear"/>
    </w:rPr>
  </w:style>
  <w:style w:type="character" w:styleId="Style17" w:customStyle="1">
    <w:name w:val="Основной текст + Полужирный"/>
    <w:basedOn w:val="Style16"/>
    <w:qFormat/>
    <w:rsid w:val="00082f77"/>
    <w:rPr>
      <w:rFonts w:ascii="Times New Roman" w:hAnsi="Times New Roman" w:eastAsia="Times New Roman" w:cs="Times New Roman"/>
      <w:i w:val="false"/>
      <w:iCs w:val="false"/>
      <w:caps w:val="false"/>
      <w:smallCaps w:val="false"/>
      <w:spacing w:val="0"/>
      <w:sz w:val="23"/>
      <w:szCs w:val="23"/>
      <w:shd w:fill="FFFFFF" w:val="clear"/>
    </w:rPr>
  </w:style>
  <w:style w:type="character" w:styleId="9pt" w:customStyle="1">
    <w:name w:val="Основной текст + 9 pt;Полужирный"/>
    <w:basedOn w:val="Style16"/>
    <w:qFormat/>
    <w:rsid w:val="00082f77"/>
    <w:rPr>
      <w:rFonts w:ascii="Times New Roman" w:hAnsi="Times New Roman" w:eastAsia="Times New Roman" w:cs="Times New Roman"/>
      <w:i w:val="false"/>
      <w:iCs w:val="false"/>
      <w:caps w:val="false"/>
      <w:smallCaps w:val="false"/>
      <w:spacing w:val="0"/>
      <w:sz w:val="18"/>
      <w:szCs w:val="18"/>
      <w:shd w:fill="FFFFFF" w:val="clear"/>
    </w:rPr>
  </w:style>
  <w:style w:type="character" w:styleId="Style18" w:customStyle="1">
    <w:name w:val="Верхний колонтитул Знак"/>
    <w:link w:val="af"/>
    <w:qFormat/>
    <w:locked/>
    <w:rsid w:val="003555a2"/>
    <w:rPr>
      <w:rFonts w:ascii="Calibri" w:hAnsi="Calibri"/>
    </w:rPr>
  </w:style>
  <w:style w:type="character" w:styleId="1" w:customStyle="1">
    <w:name w:val="Верхний колонтитул Знак1"/>
    <w:basedOn w:val="DefaultParagraphFont"/>
    <w:uiPriority w:val="99"/>
    <w:semiHidden/>
    <w:qFormat/>
    <w:rsid w:val="003555a2"/>
    <w:rPr/>
  </w:style>
  <w:style w:type="character" w:styleId="Style19" w:customStyle="1">
    <w:name w:val="Маркированный список Знак"/>
    <w:basedOn w:val="DefaultParagraphFont"/>
    <w:link w:val="a"/>
    <w:qFormat/>
    <w:locked/>
    <w:rsid w:val="00df355a"/>
    <w:rPr>
      <w:rFonts w:ascii="Times New Roman" w:hAnsi="Times New Roman" w:eastAsia="Calibri" w:cs="Times New Roman"/>
      <w:sz w:val="24"/>
      <w:szCs w:val="20"/>
      <w:lang w:eastAsia="ru-RU"/>
    </w:rPr>
  </w:style>
  <w:style w:type="character" w:styleId="Style20" w:customStyle="1">
    <w:name w:val="Основной текст Знак"/>
    <w:basedOn w:val="DefaultParagraphFont"/>
    <w:link w:val="af2"/>
    <w:uiPriority w:val="99"/>
    <w:semiHidden/>
    <w:qFormat/>
    <w:rsid w:val="00a4111d"/>
    <w:rPr/>
  </w:style>
  <w:style w:type="character" w:styleId="Style21" w:customStyle="1">
    <w:name w:val="Абзац списка Знак"/>
    <w:link w:val="a5"/>
    <w:uiPriority w:val="99"/>
    <w:qFormat/>
    <w:locked/>
    <w:rsid w:val="007d161c"/>
    <w:rPr/>
  </w:style>
  <w:style w:type="character" w:styleId="ListLabel1">
    <w:name w:val="ListLabel 1"/>
    <w:qFormat/>
    <w:rPr>
      <w:rFonts w:cs="Times New Roman"/>
      <w:sz w:val="24"/>
      <w:szCs w:val="24"/>
    </w:rPr>
  </w:style>
  <w:style w:type="character" w:styleId="ListLabel2">
    <w:name w:val="ListLabel 2"/>
    <w:qFormat/>
    <w:rPr>
      <w:rFonts w:ascii="Times New Roman" w:hAnsi="Times New Roman"/>
      <w:b/>
      <w:sz w:val="28"/>
      <w:u w:val="none"/>
    </w:rPr>
  </w:style>
  <w:style w:type="character" w:styleId="ListLabel3">
    <w:name w:val="ListLabel 3"/>
    <w:qFormat/>
    <w:rPr>
      <w:rFonts w:cs="Times New Roman"/>
      <w:sz w:val="28"/>
    </w:rPr>
  </w:style>
  <w:style w:type="character" w:styleId="ListLabel4">
    <w:name w:val="ListLabel 4"/>
    <w:qFormat/>
    <w:rPr>
      <w:rFonts w:cs="Courier New"/>
    </w:rPr>
  </w:style>
  <w:style w:type="character" w:styleId="ListLabel5">
    <w:name w:val="ListLabel 5"/>
    <w:qFormat/>
    <w:rPr>
      <w:rFonts w:eastAsia="Calibri"/>
      <w:color w:val="221E1F"/>
    </w:rPr>
  </w:style>
  <w:style w:type="character" w:styleId="ListLabel6">
    <w:name w:val="ListLabel 6"/>
    <w:qFormat/>
    <w:rPr>
      <w:rFonts w:cs="Times New Roman"/>
    </w:rPr>
  </w:style>
  <w:style w:type="character" w:styleId="ListLabel7">
    <w:name w:val="ListLabel 7"/>
    <w:qFormat/>
    <w:rPr>
      <w:rFonts w:ascii="Times New Roman" w:hAnsi="Times New Roman"/>
      <w:b/>
      <w:sz w:val="28"/>
      <w:u w:val="none"/>
    </w:rPr>
  </w:style>
  <w:style w:type="character" w:styleId="ListLabel8">
    <w:name w:val="ListLabel 8"/>
    <w:qFormat/>
    <w:rPr>
      <w:rFonts w:ascii="Times New Roman" w:hAnsi="Times New Roman"/>
      <w:b/>
      <w:sz w:val="28"/>
      <w:u w:val="none"/>
    </w:rPr>
  </w:style>
  <w:style w:type="character" w:styleId="ListLabel9">
    <w:name w:val="ListLabel 9"/>
    <w:qFormat/>
    <w:rPr>
      <w:rFonts w:ascii="Times New Roman" w:hAnsi="Times New Roman"/>
      <w:b/>
      <w:sz w:val="28"/>
      <w:u w:val="none"/>
    </w:rPr>
  </w:style>
  <w:style w:type="character" w:styleId="ListLabel10">
    <w:name w:val="ListLabel 10"/>
    <w:qFormat/>
    <w:rPr>
      <w:rFonts w:ascii="Times New Roman" w:hAnsi="Times New Roman"/>
      <w:b/>
      <w:sz w:val="28"/>
      <w:u w:val="none"/>
    </w:rPr>
  </w:style>
  <w:style w:type="character" w:styleId="ListLabel11">
    <w:name w:val="ListLabel 11"/>
    <w:qFormat/>
    <w:rPr>
      <w:rFonts w:ascii="Times New Roman" w:hAnsi="Times New Roman"/>
      <w:b/>
      <w:sz w:val="28"/>
      <w:u w:val="none"/>
    </w:rPr>
  </w:style>
  <w:style w:type="paragraph" w:styleId="Style22" w:customStyle="1">
    <w:name w:val="Заголовок"/>
    <w:basedOn w:val="Normal"/>
    <w:next w:val="Style23"/>
    <w:qFormat/>
    <w:rsid w:val="00a4111d"/>
    <w:pPr>
      <w:keepNext/>
      <w:suppressAutoHyphens w:val="true"/>
      <w:spacing w:before="240" w:after="120"/>
    </w:pPr>
    <w:rPr>
      <w:rFonts w:ascii="Arial" w:hAnsi="Arial" w:eastAsia="Microsoft YaHei" w:cs="Mangal"/>
      <w:sz w:val="28"/>
      <w:szCs w:val="28"/>
      <w:lang w:eastAsia="ar-SA"/>
    </w:rPr>
  </w:style>
  <w:style w:type="paragraph" w:styleId="Style23">
    <w:name w:val="Основной текст"/>
    <w:basedOn w:val="Normal"/>
    <w:link w:val="af3"/>
    <w:uiPriority w:val="99"/>
    <w:semiHidden/>
    <w:unhideWhenUsed/>
    <w:rsid w:val="00a4111d"/>
    <w:pPr>
      <w:spacing w:before="0" w:after="120"/>
    </w:pPr>
    <w:rPr/>
  </w:style>
  <w:style w:type="paragraph" w:styleId="Style24">
    <w:name w:val="Список"/>
    <w:basedOn w:val="Style23"/>
    <w:pPr/>
    <w:rPr>
      <w:rFonts w:cs="Mangal"/>
    </w:rPr>
  </w:style>
  <w:style w:type="paragraph" w:styleId="Style25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6">
    <w:name w:val="Указатель"/>
    <w:basedOn w:val="Normal"/>
    <w:qFormat/>
    <w:pPr>
      <w:suppressLineNumbers/>
    </w:pPr>
    <w:rPr>
      <w:rFonts w:cs="Mangal"/>
    </w:rPr>
  </w:style>
  <w:style w:type="paragraph" w:styleId="ListParagraph">
    <w:name w:val="List Paragraph"/>
    <w:basedOn w:val="Normal"/>
    <w:link w:val="a6"/>
    <w:uiPriority w:val="99"/>
    <w:qFormat/>
    <w:rsid w:val="00bf41be"/>
    <w:pPr>
      <w:spacing w:before="0" w:after="200"/>
      <w:ind w:left="720" w:hanging="0"/>
      <w:contextualSpacing/>
    </w:pPr>
    <w:rPr/>
  </w:style>
  <w:style w:type="paragraph" w:styleId="ConsPlusCell" w:customStyle="1">
    <w:name w:val="ConsPlusCell"/>
    <w:uiPriority w:val="99"/>
    <w:qFormat/>
    <w:rsid w:val="00f41c0b"/>
    <w:pPr>
      <w:widowControl w:val="false"/>
      <w:bidi w:val="0"/>
      <w:spacing w:lineRule="auto" w:line="240" w:before="0" w:after="0"/>
      <w:jc w:val="left"/>
    </w:pPr>
    <w:rPr>
      <w:rFonts w:ascii="Calibri" w:hAnsi="Calibri" w:eastAsia="" w:cs="Calibri" w:eastAsiaTheme="minorEastAsia"/>
      <w:color w:val="00000A"/>
      <w:sz w:val="22"/>
      <w:szCs w:val="22"/>
      <w:lang w:val="ru-RU" w:eastAsia="ru-RU" w:bidi="ar-SA"/>
    </w:rPr>
  </w:style>
  <w:style w:type="paragraph" w:styleId="NormalWeb">
    <w:name w:val="Normal (Web)"/>
    <w:basedOn w:val="Normal"/>
    <w:uiPriority w:val="99"/>
    <w:semiHidden/>
    <w:unhideWhenUsed/>
    <w:qFormat/>
    <w:rsid w:val="00f41c0b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a9"/>
    <w:uiPriority w:val="99"/>
    <w:semiHidden/>
    <w:unhideWhenUsed/>
    <w:qFormat/>
    <w:rsid w:val="00df7e98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ConsPlusNormal1" w:customStyle="1">
    <w:name w:val="ConsPlusNormal"/>
    <w:link w:val="ConsPlusNormal0"/>
    <w:qFormat/>
    <w:rsid w:val="00ff1099"/>
    <w:pPr>
      <w:widowControl w:val="false"/>
      <w:bidi w:val="0"/>
      <w:spacing w:lineRule="auto" w:line="240" w:before="0" w:after="0"/>
      <w:ind w:firstLine="720"/>
      <w:jc w:val="left"/>
    </w:pPr>
    <w:rPr>
      <w:rFonts w:ascii="Arial" w:hAnsi="Arial" w:eastAsia="Times New Roman" w:cs="Arial"/>
      <w:color w:val="00000A"/>
      <w:sz w:val="20"/>
      <w:szCs w:val="20"/>
      <w:lang w:val="ru-RU" w:eastAsia="ru-RU" w:bidi="ar-SA"/>
    </w:rPr>
  </w:style>
  <w:style w:type="paragraph" w:styleId="Style27">
    <w:name w:val="Основной текст с отступом"/>
    <w:basedOn w:val="Normal"/>
    <w:link w:val="ab"/>
    <w:rsid w:val="0035632b"/>
    <w:pPr>
      <w:spacing w:lineRule="auto" w:line="240" w:before="0" w:after="120"/>
      <w:ind w:left="283" w:hanging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" w:customStyle="1">
    <w:name w:val="Основной текст1"/>
    <w:basedOn w:val="Normal"/>
    <w:link w:val="ac"/>
    <w:qFormat/>
    <w:rsid w:val="00082f77"/>
    <w:pPr>
      <w:shd w:val="clear" w:color="auto" w:fill="FFFFFF"/>
      <w:spacing w:lineRule="auto" w:line="240" w:before="0" w:after="420"/>
    </w:pPr>
    <w:rPr>
      <w:rFonts w:ascii="Times New Roman" w:hAnsi="Times New Roman" w:eastAsia="Times New Roman" w:cs="Times New Roman"/>
      <w:sz w:val="27"/>
      <w:szCs w:val="27"/>
    </w:rPr>
  </w:style>
  <w:style w:type="paragraph" w:styleId="Style28">
    <w:name w:val="Верхний колонтитул"/>
    <w:basedOn w:val="Normal"/>
    <w:link w:val="ae"/>
    <w:rsid w:val="003555a2"/>
    <w:pPr>
      <w:tabs>
        <w:tab w:val="center" w:pos="4677" w:leader="none"/>
        <w:tab w:val="right" w:pos="9355" w:leader="none"/>
      </w:tabs>
    </w:pPr>
    <w:rPr>
      <w:rFonts w:ascii="Calibri" w:hAnsi="Calibri"/>
    </w:rPr>
  </w:style>
  <w:style w:type="paragraph" w:styleId="ListBullet">
    <w:name w:val="List Bullet"/>
    <w:basedOn w:val="Normal"/>
    <w:link w:val="af0"/>
    <w:qFormat/>
    <w:rsid w:val="00df355a"/>
    <w:pPr>
      <w:widowControl w:val="false"/>
      <w:spacing w:lineRule="auto" w:line="240" w:before="120" w:after="0"/>
      <w:jc w:val="both"/>
    </w:pPr>
    <w:rPr>
      <w:rFonts w:ascii="Times New Roman" w:hAnsi="Times New Roman" w:eastAsia="Calibri" w:cs="Times New Roman"/>
      <w:sz w:val="24"/>
      <w:szCs w:val="20"/>
      <w:lang w:eastAsia="ru-RU"/>
    </w:rPr>
  </w:style>
  <w:style w:type="paragraph" w:styleId="ConsPlusNonformat" w:customStyle="1">
    <w:name w:val="ConsPlusNonformat"/>
    <w:uiPriority w:val="99"/>
    <w:qFormat/>
    <w:rsid w:val="002176d2"/>
    <w:pPr>
      <w:widowControl w:val="false"/>
      <w:bidi w:val="0"/>
      <w:spacing w:lineRule="auto" w:line="240" w:before="0" w:after="0"/>
      <w:jc w:val="left"/>
    </w:pPr>
    <w:rPr>
      <w:rFonts w:ascii="Courier New" w:hAnsi="Courier New" w:eastAsia="" w:cs="Courier New" w:eastAsiaTheme="minorEastAsia"/>
      <w:color w:val="00000A"/>
      <w:sz w:val="20"/>
      <w:szCs w:val="20"/>
      <w:lang w:val="ru-RU" w:eastAsia="ru-RU" w:bidi="ar-SA"/>
    </w:rPr>
  </w:style>
  <w:style w:type="numbering" w:styleId="NoList" w:default="1">
    <w:name w:val="No List"/>
    <w:uiPriority w:val="99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2"/>
    <w:uiPriority w:val="59"/>
    <w:rsid w:val="00bf41be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D0728C-5FF8-4AB7-A617-1A439F3171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Application>LibreOffice/5.0.4.2$Windows_X86_64 LibreOffice_project/2b9802c1994aa0b7dc6079e128979269cf95bc78</Application>
  <Paragraphs>104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2013-10-23T01:29:00Z</dcterms:created>
  <dc:creator>Admin</dc:creator>
  <dc:language>ru-RU</dc:language>
  <cp:lastPrinted>2015-10-19T03:07:00Z</cp:lastPrinted>
  <dcterms:modified xsi:type="dcterms:W3CDTF">2017-01-30T11:26:55Z</dcterms:modified>
  <cp:revision>143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